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DA174" w14:textId="6710E91A" w:rsidR="00DF5130" w:rsidRPr="00292F8B" w:rsidRDefault="00DF5130" w:rsidP="00DF5130">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D360DF">
        <w:rPr>
          <w:rFonts w:ascii="Arial" w:hAnsi="Arial" w:cs="Arial"/>
          <w:b/>
          <w:bCs/>
          <w:sz w:val="22"/>
          <w:szCs w:val="22"/>
        </w:rPr>
        <w:t>R1-19</w:t>
      </w:r>
      <w:r w:rsidR="00D360DF" w:rsidRPr="00D360DF">
        <w:rPr>
          <w:rFonts w:ascii="Arial" w:hAnsi="Arial" w:cs="Arial"/>
          <w:b/>
          <w:bCs/>
          <w:sz w:val="22"/>
          <w:szCs w:val="22"/>
        </w:rPr>
        <w:t>007</w:t>
      </w:r>
      <w:r w:rsidR="00D360DF" w:rsidRPr="00D360DF">
        <w:rPr>
          <w:rFonts w:ascii="Arial" w:hAnsi="Arial" w:cs="Arial"/>
          <w:b/>
          <w:bCs/>
          <w:sz w:val="22"/>
          <w:szCs w:val="22"/>
        </w:rPr>
        <w:t>46</w:t>
      </w:r>
    </w:p>
    <w:p w14:paraId="3827CEDC" w14:textId="77777777" w:rsidR="00DF5130" w:rsidRPr="00292F8B" w:rsidRDefault="00DF5130" w:rsidP="00DF5130">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10176109"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784E1B">
        <w:rPr>
          <w:sz w:val="22"/>
          <w:szCs w:val="22"/>
        </w:rPr>
        <w:t>1.5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7E7C3F4" w14:textId="77777777" w:rsidR="00F2225B" w:rsidRDefault="003D3C45" w:rsidP="00311702">
      <w:pPr>
        <w:pStyle w:val="3GPPHeader"/>
        <w:rPr>
          <w:sz w:val="22"/>
          <w:szCs w:val="22"/>
        </w:rPr>
      </w:pPr>
      <w:r w:rsidRPr="00315C6E">
        <w:rPr>
          <w:sz w:val="22"/>
          <w:szCs w:val="22"/>
        </w:rPr>
        <w:t>Title:</w:t>
      </w:r>
      <w:r w:rsidR="00E90E49" w:rsidRPr="00315C6E">
        <w:rPr>
          <w:sz w:val="22"/>
          <w:szCs w:val="22"/>
        </w:rPr>
        <w:tab/>
      </w:r>
      <w:r w:rsidR="00F2225B" w:rsidRPr="00F2225B">
        <w:rPr>
          <w:sz w:val="22"/>
          <w:szCs w:val="22"/>
        </w:rPr>
        <w:t>NR URLLC enhancement for cell edge UE</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5252DD42" w:rsidR="00BB3D1A" w:rsidRDefault="00AD154D" w:rsidP="002E267F">
      <w:pPr>
        <w:jc w:val="both"/>
        <w:rPr>
          <w:sz w:val="20"/>
          <w:szCs w:val="20"/>
        </w:rPr>
      </w:pPr>
      <w:r>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72A31375" w:rsidR="00E14B94" w:rsidRPr="00E14B94" w:rsidRDefault="00E14B94" w:rsidP="00E14B94">
      <w:pPr>
        <w:jc w:val="both"/>
        <w:rPr>
          <w:sz w:val="20"/>
          <w:szCs w:val="20"/>
        </w:rPr>
      </w:pPr>
      <w:r>
        <w:rPr>
          <w:sz w:val="20"/>
          <w:szCs w:val="20"/>
        </w:rPr>
        <w:t>In Rel-16 NR</w:t>
      </w:r>
      <w:r w:rsidR="00C00E3C">
        <w:rPr>
          <w:sz w:val="20"/>
          <w:szCs w:val="20"/>
        </w:rPr>
        <w:t>, a new</w:t>
      </w:r>
      <w:r>
        <w:rPr>
          <w:sz w:val="20"/>
          <w:szCs w:val="20"/>
        </w:rPr>
        <w:t xml:space="preserve"> URLLC enhancement SI</w:t>
      </w:r>
      <w:r w:rsidR="00C00E3C">
        <w:rPr>
          <w:sz w:val="20"/>
          <w:szCs w:val="20"/>
        </w:rPr>
        <w:t xml:space="preserve"> was approved </w:t>
      </w:r>
      <w:r w:rsidR="00FE048F">
        <w:rPr>
          <w:sz w:val="20"/>
          <w:szCs w:val="20"/>
        </w:rPr>
        <w:t>[2]</w:t>
      </w:r>
    </w:p>
    <w:p w14:paraId="0BD64FAB" w14:textId="77777777" w:rsidR="006120BA" w:rsidRDefault="006120BA" w:rsidP="00417327">
      <w:pPr>
        <w:jc w:val="both"/>
        <w:rPr>
          <w:sz w:val="20"/>
          <w:szCs w:val="20"/>
        </w:rPr>
      </w:pPr>
    </w:p>
    <w:p w14:paraId="4A565538" w14:textId="76D0B31D" w:rsidR="00F91C4B" w:rsidRDefault="006120BA" w:rsidP="00764EEA">
      <w:pPr>
        <w:jc w:val="both"/>
        <w:rPr>
          <w:sz w:val="20"/>
          <w:szCs w:val="20"/>
        </w:rPr>
      </w:pPr>
      <w:r>
        <w:rPr>
          <w:sz w:val="20"/>
          <w:szCs w:val="20"/>
        </w:rPr>
        <w:t xml:space="preserve">In this contribution, we focus on the </w:t>
      </w:r>
      <w:r w:rsidR="00F91C4B">
        <w:rPr>
          <w:sz w:val="20"/>
          <w:szCs w:val="20"/>
        </w:rPr>
        <w:t>enhancement of URLLC performance for the cell edge UEs.</w:t>
      </w:r>
      <w:r w:rsidR="00764EEA">
        <w:rPr>
          <w:sz w:val="20"/>
          <w:szCs w:val="20"/>
        </w:rPr>
        <w:t xml:space="preserve"> Figure 1 illustrates the problem for the UEs at cell edge. Clearly, it is more</w:t>
      </w:r>
      <w:r w:rsidR="00764EEA" w:rsidRPr="00764EEA">
        <w:rPr>
          <w:sz w:val="20"/>
          <w:szCs w:val="20"/>
        </w:rPr>
        <w:t xml:space="preserve"> challenging for the cell edge user to meet </w:t>
      </w:r>
      <w:r w:rsidR="00764EEA">
        <w:rPr>
          <w:sz w:val="20"/>
          <w:szCs w:val="20"/>
        </w:rPr>
        <w:t xml:space="preserve">URLLC QoS requirement due to multiple reasons, including (1) </w:t>
      </w:r>
      <w:r w:rsidR="00764EEA" w:rsidRPr="00764EEA">
        <w:rPr>
          <w:sz w:val="20"/>
          <w:szCs w:val="20"/>
        </w:rPr>
        <w:t>Cell edge user is the furthest from the serving cell</w:t>
      </w:r>
      <w:r w:rsidR="00764EEA">
        <w:rPr>
          <w:sz w:val="20"/>
          <w:szCs w:val="20"/>
        </w:rPr>
        <w:t xml:space="preserve">, hence more prone to be noise </w:t>
      </w:r>
      <w:r w:rsidR="00073157">
        <w:rPr>
          <w:sz w:val="20"/>
          <w:szCs w:val="20"/>
        </w:rPr>
        <w:t>limited</w:t>
      </w:r>
      <w:r w:rsidR="00764EEA">
        <w:rPr>
          <w:sz w:val="20"/>
          <w:szCs w:val="20"/>
        </w:rPr>
        <w:t xml:space="preserve">. (2) </w:t>
      </w:r>
      <w:r w:rsidR="00764EEA" w:rsidRPr="00764EEA">
        <w:rPr>
          <w:sz w:val="20"/>
          <w:szCs w:val="20"/>
        </w:rPr>
        <w:t>Cell edge user also experiences strong interference from the neighboring cells</w:t>
      </w:r>
      <w:r w:rsidR="00764EEA">
        <w:rPr>
          <w:sz w:val="20"/>
          <w:szCs w:val="20"/>
        </w:rPr>
        <w:t>. To enhancement the cell edge user performance, w</w:t>
      </w:r>
      <w:r w:rsidR="00764EEA" w:rsidRPr="00764EEA">
        <w:rPr>
          <w:sz w:val="20"/>
          <w:szCs w:val="20"/>
        </w:rPr>
        <w:t>e propose a few mechanisms that can be used to improve the URLLC reliability</w:t>
      </w:r>
      <w:r w:rsidR="00C77181">
        <w:rPr>
          <w:sz w:val="20"/>
          <w:szCs w:val="20"/>
        </w:rPr>
        <w:t>.</w:t>
      </w:r>
    </w:p>
    <w:p w14:paraId="1E0205D4" w14:textId="77777777" w:rsidR="00F91C4B" w:rsidRDefault="00F91C4B" w:rsidP="006120BA">
      <w:pPr>
        <w:jc w:val="both"/>
        <w:rPr>
          <w:sz w:val="20"/>
          <w:szCs w:val="20"/>
        </w:rPr>
      </w:pPr>
    </w:p>
    <w:p w14:paraId="6B059A01" w14:textId="77777777" w:rsidR="00764EEA" w:rsidRDefault="00764EEA" w:rsidP="00764EEA">
      <w:pPr>
        <w:keepNext/>
        <w:jc w:val="center"/>
      </w:pPr>
      <w:r w:rsidRPr="00764EEA">
        <w:rPr>
          <w:noProof/>
          <w:sz w:val="20"/>
          <w:szCs w:val="20"/>
        </w:rPr>
        <w:lastRenderedPageBreak/>
        <w:drawing>
          <wp:inline distT="0" distB="0" distL="0" distR="0" wp14:anchorId="458DD821" wp14:editId="6369E9A0">
            <wp:extent cx="3186877" cy="34444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2485" cy="3461271"/>
                    </a:xfrm>
                    <a:prstGeom prst="rect">
                      <a:avLst/>
                    </a:prstGeom>
                  </pic:spPr>
                </pic:pic>
              </a:graphicData>
            </a:graphic>
          </wp:inline>
        </w:drawing>
      </w:r>
    </w:p>
    <w:p w14:paraId="37A23AAE" w14:textId="13520C6C" w:rsidR="00764EEA" w:rsidRPr="00690B3B" w:rsidRDefault="00764EEA"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1</w:t>
      </w:r>
      <w:r w:rsidRPr="00690B3B">
        <w:rPr>
          <w:sz w:val="20"/>
        </w:rPr>
        <w:fldChar w:fldCharType="end"/>
      </w:r>
      <w:r w:rsidRPr="00690B3B">
        <w:rPr>
          <w:sz w:val="20"/>
        </w:rPr>
        <w:t xml:space="preserve"> URLLC UE at Cell Edge</w:t>
      </w:r>
    </w:p>
    <w:p w14:paraId="4E89D9B9" w14:textId="77777777" w:rsidR="00950E8C" w:rsidRDefault="00644BC1" w:rsidP="00365CF3">
      <w:pPr>
        <w:pStyle w:val="Heading1"/>
      </w:pPr>
      <w:r>
        <w:t xml:space="preserve">Enhancement to Mobility </w:t>
      </w:r>
      <w:r w:rsidR="00950E8C">
        <w:t>Procedures</w:t>
      </w:r>
    </w:p>
    <w:p w14:paraId="6FA5C7F6" w14:textId="30A524FF" w:rsidR="002335EC" w:rsidRDefault="00950E8C" w:rsidP="00950E8C">
      <w:pPr>
        <w:jc w:val="both"/>
        <w:rPr>
          <w:sz w:val="20"/>
          <w:szCs w:val="20"/>
        </w:rPr>
      </w:pPr>
      <w:r>
        <w:rPr>
          <w:sz w:val="20"/>
          <w:szCs w:val="20"/>
        </w:rPr>
        <w:t xml:space="preserve">Clearly, in order to support the enhancement to cell edge user URLLC performance, it is required for the NW and UE to be able to detect the condition of the cell edge at first. Similar concept was presented in UMTS in terms of the active set management. In summary, UE will monitor the strength of neighbor cells and report the appearance and disappearance of a strong neighbor cell to the NW when the neighbor cell quality becomes noticeably strong or weak. It is also beneficial for </w:t>
      </w:r>
      <w:r w:rsidRPr="00950E8C">
        <w:rPr>
          <w:sz w:val="20"/>
          <w:szCs w:val="20"/>
        </w:rPr>
        <w:t xml:space="preserve">NR </w:t>
      </w:r>
      <w:r>
        <w:rPr>
          <w:sz w:val="20"/>
          <w:szCs w:val="20"/>
        </w:rPr>
        <w:t xml:space="preserve">to </w:t>
      </w:r>
      <w:r w:rsidRPr="00950E8C">
        <w:rPr>
          <w:sz w:val="20"/>
          <w:szCs w:val="20"/>
        </w:rPr>
        <w:t xml:space="preserve">support </w:t>
      </w:r>
      <w:r w:rsidR="009C5762">
        <w:rPr>
          <w:sz w:val="20"/>
          <w:szCs w:val="20"/>
        </w:rPr>
        <w:t>similar</w:t>
      </w:r>
      <w:r w:rsidRPr="00950E8C">
        <w:rPr>
          <w:sz w:val="20"/>
          <w:szCs w:val="20"/>
        </w:rPr>
        <w:t xml:space="preserve"> mobility event and allows the UE </w:t>
      </w:r>
      <w:r>
        <w:rPr>
          <w:sz w:val="20"/>
          <w:szCs w:val="20"/>
        </w:rPr>
        <w:t xml:space="preserve">to </w:t>
      </w:r>
      <w:r w:rsidRPr="00950E8C">
        <w:rPr>
          <w:sz w:val="20"/>
          <w:szCs w:val="20"/>
        </w:rPr>
        <w:t>report the appearance the disappearance of the strong interference cell to the NW</w:t>
      </w:r>
      <w:r>
        <w:rPr>
          <w:sz w:val="20"/>
          <w:szCs w:val="20"/>
        </w:rPr>
        <w:t>. In order to reduce the report overhead and avoid ping pong, t</w:t>
      </w:r>
      <w:r w:rsidRPr="00950E8C">
        <w:rPr>
          <w:sz w:val="20"/>
          <w:szCs w:val="20"/>
        </w:rPr>
        <w:t>he report can be even</w:t>
      </w:r>
      <w:r>
        <w:rPr>
          <w:sz w:val="20"/>
          <w:szCs w:val="20"/>
        </w:rPr>
        <w:t>t</w:t>
      </w:r>
      <w:r w:rsidR="00B617E0">
        <w:rPr>
          <w:sz w:val="20"/>
          <w:szCs w:val="20"/>
        </w:rPr>
        <w:t xml:space="preserve"> </w:t>
      </w:r>
      <w:r w:rsidRPr="00950E8C">
        <w:rPr>
          <w:sz w:val="20"/>
          <w:szCs w:val="20"/>
        </w:rPr>
        <w:t>trigger based on the measurement, hysteresis and time to trigger or counter</w:t>
      </w:r>
      <w:r>
        <w:rPr>
          <w:sz w:val="20"/>
          <w:szCs w:val="20"/>
        </w:rPr>
        <w:t xml:space="preserve">, etc. </w:t>
      </w:r>
      <w:r w:rsidR="00D22921">
        <w:rPr>
          <w:sz w:val="20"/>
          <w:szCs w:val="20"/>
        </w:rPr>
        <w:t>The concept is illustrated in Figure 2.</w:t>
      </w:r>
    </w:p>
    <w:p w14:paraId="69309A10" w14:textId="77777777" w:rsidR="002335EC" w:rsidRDefault="002335EC" w:rsidP="00950E8C">
      <w:pPr>
        <w:jc w:val="both"/>
        <w:rPr>
          <w:sz w:val="20"/>
          <w:szCs w:val="20"/>
        </w:rPr>
      </w:pPr>
    </w:p>
    <w:p w14:paraId="3E9AA782" w14:textId="77777777" w:rsidR="00D22921" w:rsidRDefault="00D22921" w:rsidP="00690B3B">
      <w:pPr>
        <w:keepNext/>
        <w:jc w:val="center"/>
      </w:pPr>
      <w:r w:rsidRPr="00D22921">
        <w:rPr>
          <w:noProof/>
          <w:sz w:val="20"/>
          <w:szCs w:val="20"/>
        </w:rPr>
        <w:drawing>
          <wp:inline distT="0" distB="0" distL="0" distR="0" wp14:anchorId="45F0D8AD" wp14:editId="2CAEDCD0">
            <wp:extent cx="5136204" cy="1972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8851" cy="1976958"/>
                    </a:xfrm>
                    <a:prstGeom prst="rect">
                      <a:avLst/>
                    </a:prstGeom>
                  </pic:spPr>
                </pic:pic>
              </a:graphicData>
            </a:graphic>
          </wp:inline>
        </w:drawing>
      </w:r>
    </w:p>
    <w:p w14:paraId="147CA778" w14:textId="3D1DC66D" w:rsidR="002335EC" w:rsidRPr="00690B3B" w:rsidRDefault="00D22921"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2</w:t>
      </w:r>
      <w:r w:rsidRPr="00690B3B">
        <w:rPr>
          <w:sz w:val="20"/>
        </w:rPr>
        <w:fldChar w:fldCharType="end"/>
      </w:r>
      <w:r w:rsidRPr="00690B3B">
        <w:rPr>
          <w:sz w:val="20"/>
        </w:rPr>
        <w:t xml:space="preserve"> Mobility Enhancement for URLLC Cell Edge UEs</w:t>
      </w:r>
    </w:p>
    <w:p w14:paraId="03ADB656" w14:textId="77777777" w:rsidR="006F574B" w:rsidRDefault="006F574B" w:rsidP="006F21A8">
      <w:pPr>
        <w:jc w:val="both"/>
        <w:rPr>
          <w:b/>
          <w:i/>
          <w:sz w:val="20"/>
          <w:szCs w:val="20"/>
        </w:rPr>
      </w:pPr>
    </w:p>
    <w:p w14:paraId="65C267A1" w14:textId="77777777" w:rsidR="00D22921"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sidR="00D22921">
        <w:rPr>
          <w:b/>
          <w:i/>
          <w:sz w:val="20"/>
          <w:szCs w:val="20"/>
        </w:rPr>
        <w:t>NR</w:t>
      </w:r>
      <w:r w:rsidR="00D22921" w:rsidRPr="00D22921">
        <w:rPr>
          <w:b/>
          <w:i/>
          <w:sz w:val="20"/>
          <w:szCs w:val="20"/>
        </w:rPr>
        <w:t xml:space="preserve"> </w:t>
      </w:r>
      <w:r w:rsidR="00D22921">
        <w:rPr>
          <w:b/>
          <w:i/>
          <w:sz w:val="20"/>
          <w:szCs w:val="20"/>
        </w:rPr>
        <w:t xml:space="preserve">to </w:t>
      </w:r>
      <w:r w:rsidR="00D22921" w:rsidRPr="00D22921">
        <w:rPr>
          <w:b/>
          <w:i/>
          <w:sz w:val="20"/>
          <w:szCs w:val="20"/>
        </w:rPr>
        <w:t>support mobility</w:t>
      </w:r>
      <w:r w:rsidR="00D22921">
        <w:rPr>
          <w:b/>
          <w:i/>
          <w:sz w:val="20"/>
          <w:szCs w:val="20"/>
        </w:rPr>
        <w:t xml:space="preserve"> enhancement by</w:t>
      </w:r>
      <w:r w:rsidR="00D22921" w:rsidRPr="00D22921">
        <w:rPr>
          <w:b/>
          <w:i/>
          <w:sz w:val="20"/>
          <w:szCs w:val="20"/>
        </w:rPr>
        <w:t xml:space="preserve"> allow</w:t>
      </w:r>
      <w:r w:rsidR="00D22921">
        <w:rPr>
          <w:b/>
          <w:i/>
          <w:sz w:val="20"/>
          <w:szCs w:val="20"/>
        </w:rPr>
        <w:t>ing</w:t>
      </w:r>
      <w:r w:rsidR="00D22921" w:rsidRPr="00D22921">
        <w:rPr>
          <w:b/>
          <w:i/>
          <w:sz w:val="20"/>
          <w:szCs w:val="20"/>
        </w:rPr>
        <w:t xml:space="preserve"> the UE </w:t>
      </w:r>
      <w:r w:rsidR="00D22921">
        <w:rPr>
          <w:b/>
          <w:i/>
          <w:sz w:val="20"/>
          <w:szCs w:val="20"/>
        </w:rPr>
        <w:t xml:space="preserve">to </w:t>
      </w:r>
      <w:r w:rsidR="00D22921" w:rsidRPr="00D22921">
        <w:rPr>
          <w:b/>
          <w:i/>
          <w:sz w:val="20"/>
          <w:szCs w:val="20"/>
        </w:rPr>
        <w:t>report the appearance the disappearance of the strong interfer</w:t>
      </w:r>
      <w:r w:rsidR="00D22921">
        <w:rPr>
          <w:b/>
          <w:i/>
          <w:sz w:val="20"/>
          <w:szCs w:val="20"/>
        </w:rPr>
        <w:t>ing</w:t>
      </w:r>
      <w:r w:rsidR="00D22921" w:rsidRPr="00D22921">
        <w:rPr>
          <w:b/>
          <w:i/>
          <w:sz w:val="20"/>
          <w:szCs w:val="20"/>
        </w:rPr>
        <w:t xml:space="preserve"> cell</w:t>
      </w:r>
      <w:r w:rsidR="00D22921">
        <w:rPr>
          <w:b/>
          <w:i/>
          <w:sz w:val="20"/>
          <w:szCs w:val="20"/>
        </w:rPr>
        <w:t>s</w:t>
      </w:r>
      <w:r w:rsidR="00D22921" w:rsidRPr="00D22921">
        <w:rPr>
          <w:b/>
          <w:i/>
          <w:sz w:val="20"/>
          <w:szCs w:val="20"/>
        </w:rPr>
        <w:t xml:space="preserve"> to the NW</w:t>
      </w:r>
      <w:r w:rsidR="00D22921">
        <w:rPr>
          <w:b/>
          <w:i/>
          <w:sz w:val="20"/>
          <w:szCs w:val="20"/>
        </w:rPr>
        <w:t>.</w:t>
      </w:r>
    </w:p>
    <w:p w14:paraId="1E54FEF9" w14:textId="7A3EEC2F" w:rsidR="00B617E0" w:rsidRDefault="00B617E0" w:rsidP="00423C45">
      <w:pPr>
        <w:pStyle w:val="Heading1"/>
      </w:pPr>
      <w:r>
        <w:t>Enhancement on the Multi</w:t>
      </w:r>
      <w:r w:rsidR="00C54D4F">
        <w:t>-</w:t>
      </w:r>
      <w:r>
        <w:t>TRP/gNB Reception</w:t>
      </w:r>
      <w:r w:rsidR="00282B4B">
        <w:t>/</w:t>
      </w:r>
      <w:r>
        <w:t>Transmission</w:t>
      </w:r>
    </w:p>
    <w:p w14:paraId="162E2F87" w14:textId="0EAEDF11" w:rsidR="00714A3F" w:rsidRDefault="00C54D4F" w:rsidP="00C54D4F">
      <w:pPr>
        <w:rPr>
          <w:sz w:val="20"/>
          <w:szCs w:val="20"/>
        </w:rPr>
      </w:pPr>
      <w:r>
        <w:rPr>
          <w:sz w:val="20"/>
          <w:szCs w:val="20"/>
        </w:rPr>
        <w:t xml:space="preserve">At the cell edge, one distinct </w:t>
      </w:r>
      <w:r w:rsidR="00714A3F">
        <w:rPr>
          <w:sz w:val="20"/>
          <w:szCs w:val="20"/>
        </w:rPr>
        <w:t xml:space="preserve">characteristics that can be utilized to enhance the URLLC performance is that fact that UE can receive signal from multiple TRP/gNB on DL and UE signal can be detected by multiple TRP/gNB on UL. </w:t>
      </w:r>
    </w:p>
    <w:p w14:paraId="65B04D11" w14:textId="3789605D" w:rsidR="00282B4B" w:rsidRDefault="00282B4B" w:rsidP="00C54D4F">
      <w:pPr>
        <w:rPr>
          <w:sz w:val="20"/>
          <w:szCs w:val="20"/>
        </w:rPr>
      </w:pPr>
    </w:p>
    <w:p w14:paraId="5BDAF424" w14:textId="77777777" w:rsidR="00282B4B" w:rsidRDefault="00282B4B" w:rsidP="00C54D4F">
      <w:pPr>
        <w:rPr>
          <w:sz w:val="20"/>
          <w:szCs w:val="20"/>
        </w:rPr>
      </w:pPr>
      <w:r>
        <w:rPr>
          <w:sz w:val="20"/>
          <w:szCs w:val="20"/>
        </w:rPr>
        <w:t>Similar as COMP in LTE, NR can also design schemes for multi-TRP/gNB reception/transmission in order to improve the performance on both the DL and UL direction.</w:t>
      </w:r>
    </w:p>
    <w:p w14:paraId="3F8256C2" w14:textId="06472F31" w:rsidR="00282B4B" w:rsidRPr="0063428B" w:rsidRDefault="00282B4B" w:rsidP="00C54D4F">
      <w:pPr>
        <w:rPr>
          <w:sz w:val="20"/>
          <w:szCs w:val="20"/>
        </w:rPr>
      </w:pPr>
    </w:p>
    <w:p w14:paraId="7BE799B9" w14:textId="4B718D6D" w:rsidR="00282B4B" w:rsidRPr="0063428B" w:rsidRDefault="00282B4B" w:rsidP="00C54D4F">
      <w:pPr>
        <w:rPr>
          <w:sz w:val="20"/>
          <w:szCs w:val="20"/>
        </w:rPr>
      </w:pPr>
      <w:r w:rsidRPr="0063428B">
        <w:rPr>
          <w:sz w:val="20"/>
          <w:szCs w:val="20"/>
        </w:rPr>
        <w:t xml:space="preserve">For DL, depending on the </w:t>
      </w:r>
      <w:r w:rsidR="00821C47" w:rsidRPr="0063428B">
        <w:rPr>
          <w:sz w:val="20"/>
          <w:szCs w:val="20"/>
        </w:rPr>
        <w:t xml:space="preserve">quality </w:t>
      </w:r>
      <w:r w:rsidR="00892B1D" w:rsidRPr="0063428B">
        <w:rPr>
          <w:sz w:val="20"/>
          <w:szCs w:val="20"/>
        </w:rPr>
        <w:t xml:space="preserve">of </w:t>
      </w:r>
      <w:r w:rsidRPr="0063428B">
        <w:rPr>
          <w:sz w:val="20"/>
          <w:szCs w:val="20"/>
        </w:rPr>
        <w:t>backhaul between multiple TRP or gNB, the coordination can be done at different time scale. The basic design choice is to coordinate the transmission of multiple TRP or gNB to either minimize the interference or enhance the transmission by pre-processing or post-processing o</w:t>
      </w:r>
      <w:r w:rsidR="00287886" w:rsidRPr="0063428B">
        <w:rPr>
          <w:sz w:val="20"/>
          <w:szCs w:val="20"/>
        </w:rPr>
        <w:t>f t</w:t>
      </w:r>
      <w:r w:rsidRPr="0063428B">
        <w:rPr>
          <w:sz w:val="20"/>
          <w:szCs w:val="20"/>
        </w:rPr>
        <w:t>he transmitted signals from multiple TRP/gNB.</w:t>
      </w:r>
      <w:r w:rsidR="001162E2" w:rsidRPr="0063428B">
        <w:rPr>
          <w:sz w:val="20"/>
          <w:szCs w:val="20"/>
        </w:rPr>
        <w:t xml:space="preserve"> There could be a few schemes to be considered</w:t>
      </w:r>
    </w:p>
    <w:p w14:paraId="5E4B6909" w14:textId="0E096154" w:rsidR="001162E2" w:rsidRPr="0063428B" w:rsidRDefault="001162E2" w:rsidP="00C54D4F">
      <w:pPr>
        <w:rPr>
          <w:sz w:val="20"/>
          <w:szCs w:val="20"/>
        </w:rPr>
      </w:pPr>
    </w:p>
    <w:p w14:paraId="60F1051F" w14:textId="522DC1F6" w:rsidR="001162E2"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w:t>
      </w:r>
      <w:r w:rsidR="00C54D4F" w:rsidRPr="0063428B">
        <w:rPr>
          <w:rFonts w:ascii="Times New Roman" w:hAnsi="Times New Roman"/>
          <w:sz w:val="20"/>
          <w:szCs w:val="20"/>
        </w:rPr>
        <w:t>UE to receive more than 1 PDSCH from multiple TRP/gNB simultaneously</w:t>
      </w:r>
      <w:r w:rsidRPr="0063428B">
        <w:rPr>
          <w:rFonts w:ascii="Times New Roman" w:hAnsi="Times New Roman"/>
          <w:sz w:val="20"/>
          <w:szCs w:val="20"/>
        </w:rPr>
        <w:t xml:space="preserve">. </w:t>
      </w:r>
      <w:r w:rsidR="00ED59F3">
        <w:rPr>
          <w:rFonts w:ascii="Times New Roman" w:hAnsi="Times New Roman"/>
          <w:sz w:val="20"/>
          <w:szCs w:val="20"/>
        </w:rPr>
        <w:t>Multiple</w:t>
      </w:r>
      <w:r w:rsidR="00C54D4F" w:rsidRPr="0063428B">
        <w:rPr>
          <w:rFonts w:ascii="Times New Roman" w:hAnsi="Times New Roman"/>
          <w:sz w:val="20"/>
          <w:szCs w:val="20"/>
        </w:rPr>
        <w:t xml:space="preserve"> PDSCH can be scheduled with the same DCI (PDCCH) or different DCI.</w:t>
      </w:r>
      <w:r w:rsidRPr="0063428B">
        <w:rPr>
          <w:rFonts w:ascii="Times New Roman" w:hAnsi="Times New Roman"/>
          <w:sz w:val="20"/>
          <w:szCs w:val="20"/>
        </w:rPr>
        <w:t xml:space="preserve"> In order to improve reliability,</w:t>
      </w:r>
      <w:r w:rsidR="00B65FB2">
        <w:rPr>
          <w:rFonts w:ascii="Times New Roman" w:hAnsi="Times New Roman"/>
          <w:sz w:val="20"/>
          <w:szCs w:val="20"/>
        </w:rPr>
        <w:t xml:space="preserve"> different</w:t>
      </w:r>
      <w:r w:rsidRPr="0063428B">
        <w:rPr>
          <w:rFonts w:ascii="Times New Roman" w:hAnsi="Times New Roman"/>
          <w:sz w:val="20"/>
          <w:szCs w:val="20"/>
        </w:rPr>
        <w:t xml:space="preserve"> PDSCH can carry the same payload, but the transmission can be scrambled differently. </w:t>
      </w:r>
      <w:r w:rsidR="00D72C6C">
        <w:rPr>
          <w:rFonts w:ascii="Times New Roman" w:hAnsi="Times New Roman"/>
          <w:sz w:val="20"/>
          <w:szCs w:val="20"/>
        </w:rPr>
        <w:t>Different</w:t>
      </w:r>
      <w:r w:rsidR="00C54D4F" w:rsidRPr="0063428B">
        <w:rPr>
          <w:rFonts w:ascii="Times New Roman" w:hAnsi="Times New Roman"/>
          <w:sz w:val="20"/>
          <w:szCs w:val="20"/>
        </w:rPr>
        <w:t xml:space="preserve"> PDSCH </w:t>
      </w:r>
      <w:r w:rsidRPr="0063428B">
        <w:rPr>
          <w:rFonts w:ascii="Times New Roman" w:hAnsi="Times New Roman"/>
          <w:sz w:val="20"/>
          <w:szCs w:val="20"/>
        </w:rPr>
        <w:t xml:space="preserve">can be mapped to the same HARQ ID in order to </w:t>
      </w:r>
      <w:r w:rsidR="00107EF8">
        <w:rPr>
          <w:rFonts w:ascii="Times New Roman" w:hAnsi="Times New Roman"/>
          <w:sz w:val="20"/>
          <w:szCs w:val="20"/>
        </w:rPr>
        <w:t xml:space="preserve">inform the UE about the repeated payload to </w:t>
      </w:r>
      <w:r w:rsidRPr="0063428B">
        <w:rPr>
          <w:rFonts w:ascii="Times New Roman" w:hAnsi="Times New Roman"/>
          <w:sz w:val="20"/>
          <w:szCs w:val="20"/>
        </w:rPr>
        <w:t>improve the reliability</w:t>
      </w:r>
      <w:r w:rsidR="00760C18" w:rsidRPr="0063428B">
        <w:rPr>
          <w:rFonts w:ascii="Times New Roman" w:hAnsi="Times New Roman"/>
          <w:sz w:val="20"/>
          <w:szCs w:val="20"/>
        </w:rPr>
        <w:t>. The concept is illustrated in Figure 3.</w:t>
      </w:r>
    </w:p>
    <w:p w14:paraId="7914285D" w14:textId="77777777" w:rsidR="00365D64" w:rsidRPr="0063428B" w:rsidRDefault="00365D64" w:rsidP="00365D64">
      <w:pPr>
        <w:pStyle w:val="ListParagraph"/>
        <w:rPr>
          <w:rFonts w:ascii="Times New Roman" w:hAnsi="Times New Roman"/>
          <w:sz w:val="20"/>
          <w:szCs w:val="20"/>
        </w:rPr>
      </w:pPr>
    </w:p>
    <w:p w14:paraId="742CD940"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B2FF6C9" wp14:editId="6998A181">
            <wp:extent cx="4569722" cy="1518974"/>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8628" cy="1521934"/>
                    </a:xfrm>
                    <a:prstGeom prst="rect">
                      <a:avLst/>
                    </a:prstGeom>
                  </pic:spPr>
                </pic:pic>
              </a:graphicData>
            </a:graphic>
          </wp:inline>
        </w:drawing>
      </w:r>
    </w:p>
    <w:p w14:paraId="27F9155D" w14:textId="4ADFA0A6"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3</w:t>
      </w:r>
      <w:r w:rsidRPr="0063428B">
        <w:rPr>
          <w:sz w:val="20"/>
        </w:rPr>
        <w:fldChar w:fldCharType="end"/>
      </w:r>
      <w:r w:rsidRPr="0063428B">
        <w:rPr>
          <w:sz w:val="20"/>
        </w:rPr>
        <w:t xml:space="preserve"> Multiple PDSCH Enhancement</w:t>
      </w:r>
    </w:p>
    <w:p w14:paraId="3A785D32" w14:textId="77777777" w:rsidR="00365D64" w:rsidRPr="0063428B" w:rsidRDefault="00365D64" w:rsidP="00365D64">
      <w:pPr>
        <w:pStyle w:val="ListParagraph"/>
        <w:jc w:val="center"/>
        <w:rPr>
          <w:rFonts w:ascii="Times New Roman" w:hAnsi="Times New Roman"/>
          <w:sz w:val="20"/>
          <w:szCs w:val="20"/>
        </w:rPr>
      </w:pPr>
    </w:p>
    <w:p w14:paraId="0E196C9E" w14:textId="543411A8" w:rsidR="00760C18"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UE to receive a single PDSCH with dynamic pointing and interference suppression via UE CSI feedback. i.e., UE CSI report contains multiple CQI corresponding to different cells, and/or the preferred cell index. Scheduler only picks the best TRP or gNB to transmit the payload. Other </w:t>
      </w:r>
      <w:r w:rsidR="00760C18" w:rsidRPr="0063428B">
        <w:rPr>
          <w:rFonts w:ascii="Times New Roman" w:hAnsi="Times New Roman"/>
          <w:sz w:val="20"/>
          <w:szCs w:val="20"/>
        </w:rPr>
        <w:t xml:space="preserve">TRP or </w:t>
      </w:r>
      <w:r w:rsidRPr="0063428B">
        <w:rPr>
          <w:rFonts w:ascii="Times New Roman" w:hAnsi="Times New Roman"/>
          <w:sz w:val="20"/>
          <w:szCs w:val="20"/>
        </w:rPr>
        <w:t xml:space="preserve">gNB may mute its transmission in order to reduce </w:t>
      </w:r>
      <w:r w:rsidR="00A231D9">
        <w:rPr>
          <w:rFonts w:ascii="Times New Roman" w:hAnsi="Times New Roman"/>
          <w:sz w:val="20"/>
          <w:szCs w:val="20"/>
        </w:rPr>
        <w:t xml:space="preserve">the </w:t>
      </w:r>
      <w:r w:rsidRPr="0063428B">
        <w:rPr>
          <w:rFonts w:ascii="Times New Roman" w:hAnsi="Times New Roman"/>
          <w:sz w:val="20"/>
          <w:szCs w:val="20"/>
        </w:rPr>
        <w:t>in</w:t>
      </w:r>
      <w:r w:rsidR="000B2185">
        <w:rPr>
          <w:rFonts w:ascii="Times New Roman" w:hAnsi="Times New Roman"/>
          <w:sz w:val="20"/>
          <w:szCs w:val="20"/>
        </w:rPr>
        <w:t>ter</w:t>
      </w:r>
      <w:r w:rsidRPr="0063428B">
        <w:rPr>
          <w:rFonts w:ascii="Times New Roman" w:hAnsi="Times New Roman"/>
          <w:sz w:val="20"/>
          <w:szCs w:val="20"/>
        </w:rPr>
        <w:t>ference</w:t>
      </w:r>
      <w:r w:rsidR="00760C18" w:rsidRPr="0063428B">
        <w:rPr>
          <w:rFonts w:ascii="Times New Roman" w:hAnsi="Times New Roman"/>
          <w:sz w:val="20"/>
          <w:szCs w:val="20"/>
        </w:rPr>
        <w:t>. The concept is illustrated in Figure 4.</w:t>
      </w:r>
    </w:p>
    <w:p w14:paraId="2B5E38CC" w14:textId="77777777" w:rsidR="00365D64" w:rsidRPr="0063428B" w:rsidRDefault="00365D64" w:rsidP="00365D64">
      <w:pPr>
        <w:pStyle w:val="ListParagraph"/>
        <w:rPr>
          <w:rFonts w:ascii="Times New Roman" w:hAnsi="Times New Roman"/>
          <w:sz w:val="20"/>
          <w:szCs w:val="20"/>
        </w:rPr>
      </w:pPr>
    </w:p>
    <w:p w14:paraId="33B5D0D9"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C9AE9DD" wp14:editId="0D035616">
            <wp:extent cx="4716324" cy="124134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7590" cy="1244309"/>
                    </a:xfrm>
                    <a:prstGeom prst="rect">
                      <a:avLst/>
                    </a:prstGeom>
                  </pic:spPr>
                </pic:pic>
              </a:graphicData>
            </a:graphic>
          </wp:inline>
        </w:drawing>
      </w:r>
    </w:p>
    <w:p w14:paraId="4CE3B8B6" w14:textId="18FC0424"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4</w:t>
      </w:r>
      <w:r w:rsidRPr="0063428B">
        <w:rPr>
          <w:sz w:val="20"/>
        </w:rPr>
        <w:fldChar w:fldCharType="end"/>
      </w:r>
      <w:r w:rsidRPr="0063428B">
        <w:rPr>
          <w:sz w:val="20"/>
        </w:rPr>
        <w:t xml:space="preserve"> Dynamic point selection enhancement</w:t>
      </w:r>
    </w:p>
    <w:p w14:paraId="5834EB48" w14:textId="77777777" w:rsidR="00365D64" w:rsidRPr="0063428B" w:rsidRDefault="00365D64" w:rsidP="00365D64">
      <w:pPr>
        <w:pStyle w:val="ListParagraph"/>
        <w:jc w:val="center"/>
        <w:rPr>
          <w:rFonts w:ascii="Times New Roman" w:hAnsi="Times New Roman"/>
          <w:sz w:val="20"/>
          <w:szCs w:val="20"/>
        </w:rPr>
      </w:pPr>
    </w:p>
    <w:p w14:paraId="3860E058" w14:textId="51E44BFC" w:rsidR="00C54D4F" w:rsidRPr="0063428B" w:rsidRDefault="00760C18" w:rsidP="00760C18">
      <w:pPr>
        <w:pStyle w:val="ListParagraph"/>
        <w:numPr>
          <w:ilvl w:val="0"/>
          <w:numId w:val="36"/>
        </w:numPr>
        <w:rPr>
          <w:rFonts w:ascii="Times New Roman" w:hAnsi="Times New Roman"/>
          <w:sz w:val="20"/>
          <w:szCs w:val="20"/>
        </w:rPr>
      </w:pPr>
      <w:r w:rsidRPr="0063428B">
        <w:rPr>
          <w:rFonts w:ascii="Times New Roman" w:hAnsi="Times New Roman"/>
          <w:sz w:val="20"/>
          <w:szCs w:val="20"/>
        </w:rPr>
        <w:t>Joint precoding from multiple TRP/gNB. When ideal backhaul is available, it is possible to treat multiple TRP/gNB as remote physical antenna</w:t>
      </w:r>
      <w:r w:rsidR="00C53544">
        <w:rPr>
          <w:rFonts w:ascii="Times New Roman" w:hAnsi="Times New Roman"/>
          <w:sz w:val="20"/>
          <w:szCs w:val="20"/>
        </w:rPr>
        <w:t>s</w:t>
      </w:r>
      <w:r w:rsidRPr="0063428B">
        <w:rPr>
          <w:rFonts w:ascii="Times New Roman" w:hAnsi="Times New Roman"/>
          <w:sz w:val="20"/>
          <w:szCs w:val="20"/>
        </w:rPr>
        <w:t xml:space="preserve"> and apply advanced MIMO processing to jointly precode the packet transmission over all the antennas. Even when backhaul is not ideal, </w:t>
      </w:r>
      <w:r w:rsidR="00C54D4F" w:rsidRPr="0063428B">
        <w:rPr>
          <w:rFonts w:ascii="Times New Roman" w:hAnsi="Times New Roman"/>
          <w:sz w:val="20"/>
          <w:szCs w:val="20"/>
        </w:rPr>
        <w:t xml:space="preserve">different gNB </w:t>
      </w:r>
      <w:r w:rsidRPr="0063428B">
        <w:rPr>
          <w:rFonts w:ascii="Times New Roman" w:hAnsi="Times New Roman"/>
          <w:sz w:val="20"/>
          <w:szCs w:val="20"/>
        </w:rPr>
        <w:t xml:space="preserve">can </w:t>
      </w:r>
      <w:r w:rsidR="00C54D4F" w:rsidRPr="0063428B">
        <w:rPr>
          <w:rFonts w:ascii="Times New Roman" w:hAnsi="Times New Roman"/>
          <w:sz w:val="20"/>
          <w:szCs w:val="20"/>
        </w:rPr>
        <w:t>occup</w:t>
      </w:r>
      <w:r w:rsidRPr="0063428B">
        <w:rPr>
          <w:rFonts w:ascii="Times New Roman" w:hAnsi="Times New Roman"/>
          <w:sz w:val="20"/>
          <w:szCs w:val="20"/>
        </w:rPr>
        <w:t>y</w:t>
      </w:r>
      <w:r w:rsidR="00C54D4F" w:rsidRPr="0063428B">
        <w:rPr>
          <w:rFonts w:ascii="Times New Roman" w:hAnsi="Times New Roman"/>
          <w:sz w:val="20"/>
          <w:szCs w:val="20"/>
        </w:rPr>
        <w:t xml:space="preserve"> different layer or CW</w:t>
      </w:r>
      <w:r w:rsidRPr="0063428B">
        <w:rPr>
          <w:rFonts w:ascii="Times New Roman" w:hAnsi="Times New Roman"/>
          <w:sz w:val="20"/>
          <w:szCs w:val="20"/>
        </w:rPr>
        <w:t xml:space="preserve">. The participation of layer or CW can be indicated </w:t>
      </w:r>
      <w:r w:rsidR="00C54D4F" w:rsidRPr="0063428B">
        <w:rPr>
          <w:rFonts w:ascii="Times New Roman" w:hAnsi="Times New Roman"/>
          <w:sz w:val="20"/>
          <w:szCs w:val="20"/>
        </w:rPr>
        <w:t xml:space="preserve">to the UE </w:t>
      </w:r>
      <w:r w:rsidRPr="0063428B">
        <w:rPr>
          <w:rFonts w:ascii="Times New Roman" w:hAnsi="Times New Roman"/>
          <w:sz w:val="20"/>
          <w:szCs w:val="20"/>
        </w:rPr>
        <w:t xml:space="preserve">such </w:t>
      </w:r>
      <w:r w:rsidR="00C54D4F" w:rsidRPr="0063428B">
        <w:rPr>
          <w:rFonts w:ascii="Times New Roman" w:hAnsi="Times New Roman"/>
          <w:sz w:val="20"/>
          <w:szCs w:val="20"/>
        </w:rPr>
        <w:t>that different layers or CW corresponds to the same TB (packet</w:t>
      </w:r>
      <w:r w:rsidRPr="0063428B">
        <w:rPr>
          <w:rFonts w:ascii="Times New Roman" w:hAnsi="Times New Roman"/>
          <w:sz w:val="20"/>
          <w:szCs w:val="20"/>
        </w:rPr>
        <w:t>). The concept is illustrated in Figure 5.</w:t>
      </w:r>
    </w:p>
    <w:p w14:paraId="35B1E48F" w14:textId="3DE47491" w:rsidR="00365D64" w:rsidRPr="0063428B" w:rsidRDefault="00365D64" w:rsidP="00365D64">
      <w:pPr>
        <w:rPr>
          <w:sz w:val="20"/>
          <w:szCs w:val="20"/>
        </w:rPr>
      </w:pPr>
    </w:p>
    <w:p w14:paraId="3A065A04" w14:textId="77777777" w:rsidR="00365D64" w:rsidRPr="0063428B" w:rsidRDefault="00365D64" w:rsidP="00365D64">
      <w:pPr>
        <w:keepNext/>
        <w:jc w:val="center"/>
      </w:pPr>
      <w:r w:rsidRPr="0063428B">
        <w:rPr>
          <w:noProof/>
          <w:sz w:val="20"/>
          <w:szCs w:val="20"/>
        </w:rPr>
        <w:drawing>
          <wp:inline distT="0" distB="0" distL="0" distR="0" wp14:anchorId="6CABAAED" wp14:editId="10C92F4D">
            <wp:extent cx="4645958" cy="1378990"/>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5669" cy="1387809"/>
                    </a:xfrm>
                    <a:prstGeom prst="rect">
                      <a:avLst/>
                    </a:prstGeom>
                  </pic:spPr>
                </pic:pic>
              </a:graphicData>
            </a:graphic>
          </wp:inline>
        </w:drawing>
      </w:r>
    </w:p>
    <w:p w14:paraId="0058A497" w14:textId="0C090793"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5</w:t>
      </w:r>
      <w:r w:rsidRPr="0063428B">
        <w:rPr>
          <w:sz w:val="20"/>
        </w:rPr>
        <w:fldChar w:fldCharType="end"/>
      </w:r>
      <w:r w:rsidRPr="0063428B">
        <w:rPr>
          <w:sz w:val="20"/>
        </w:rPr>
        <w:t>: Single PDSCH Enhancement</w:t>
      </w:r>
    </w:p>
    <w:p w14:paraId="183F9D44" w14:textId="6C882D7A" w:rsidR="00760C18" w:rsidRPr="0063428B" w:rsidRDefault="00760C18" w:rsidP="00365D64">
      <w:pPr>
        <w:pStyle w:val="ListParagraph"/>
        <w:rPr>
          <w:rFonts w:ascii="Times New Roman" w:hAnsi="Times New Roman"/>
          <w:sz w:val="20"/>
          <w:szCs w:val="20"/>
        </w:rPr>
      </w:pPr>
    </w:p>
    <w:p w14:paraId="29F65569" w14:textId="77777777" w:rsidR="00365D64" w:rsidRPr="0063428B" w:rsidRDefault="00365D64" w:rsidP="00760C18">
      <w:pPr>
        <w:pStyle w:val="ListParagraph"/>
        <w:rPr>
          <w:rFonts w:ascii="Times New Roman" w:hAnsi="Times New Roman"/>
          <w:sz w:val="20"/>
          <w:szCs w:val="20"/>
        </w:rPr>
      </w:pPr>
    </w:p>
    <w:p w14:paraId="0BD62166" w14:textId="3DA3A092" w:rsidR="00CF4207" w:rsidRDefault="00541210" w:rsidP="00541210">
      <w:pPr>
        <w:rPr>
          <w:sz w:val="20"/>
          <w:szCs w:val="20"/>
        </w:rPr>
      </w:pPr>
      <w:r>
        <w:rPr>
          <w:sz w:val="20"/>
          <w:szCs w:val="20"/>
        </w:rPr>
        <w:t xml:space="preserve">For UL, similarly, multiple gNB can receive the UE UL transmission simultaneously. Coordination can be done between </w:t>
      </w:r>
      <w:r w:rsidRPr="00541210">
        <w:rPr>
          <w:sz w:val="20"/>
          <w:szCs w:val="20"/>
        </w:rPr>
        <w:t xml:space="preserve">gNB to </w:t>
      </w:r>
      <w:r>
        <w:rPr>
          <w:sz w:val="20"/>
          <w:szCs w:val="20"/>
        </w:rPr>
        <w:t xml:space="preserve">allow the simultaneous reception of </w:t>
      </w:r>
      <w:r w:rsidRPr="00541210">
        <w:rPr>
          <w:sz w:val="20"/>
          <w:szCs w:val="20"/>
        </w:rPr>
        <w:t>UE UL transmission</w:t>
      </w:r>
      <w:r>
        <w:rPr>
          <w:sz w:val="20"/>
          <w:szCs w:val="20"/>
        </w:rPr>
        <w:t xml:space="preserve">. To do so, </w:t>
      </w:r>
      <w:r w:rsidRPr="00541210">
        <w:rPr>
          <w:sz w:val="20"/>
          <w:szCs w:val="20"/>
        </w:rPr>
        <w:t xml:space="preserve">gNB </w:t>
      </w:r>
      <w:r>
        <w:rPr>
          <w:sz w:val="20"/>
          <w:szCs w:val="20"/>
        </w:rPr>
        <w:t xml:space="preserve">can </w:t>
      </w:r>
      <w:r w:rsidRPr="00541210">
        <w:rPr>
          <w:sz w:val="20"/>
          <w:szCs w:val="20"/>
        </w:rPr>
        <w:t>exchange the UE ID, TA information</w:t>
      </w:r>
      <w:r w:rsidR="00CF4207">
        <w:rPr>
          <w:sz w:val="20"/>
          <w:szCs w:val="20"/>
        </w:rPr>
        <w:t xml:space="preserve">, etc. </w:t>
      </w:r>
      <w:r w:rsidRPr="00541210">
        <w:rPr>
          <w:sz w:val="20"/>
          <w:szCs w:val="20"/>
        </w:rPr>
        <w:t xml:space="preserve">over the </w:t>
      </w:r>
      <w:r w:rsidR="00AC1F9B">
        <w:rPr>
          <w:sz w:val="20"/>
          <w:szCs w:val="20"/>
        </w:rPr>
        <w:t>X</w:t>
      </w:r>
      <w:r w:rsidRPr="00541210">
        <w:rPr>
          <w:sz w:val="20"/>
          <w:szCs w:val="20"/>
        </w:rPr>
        <w:t>2 interference</w:t>
      </w:r>
      <w:r w:rsidR="00CF4207">
        <w:rPr>
          <w:sz w:val="20"/>
          <w:szCs w:val="20"/>
        </w:rPr>
        <w:t xml:space="preserve">. At the same time, </w:t>
      </w:r>
      <w:r w:rsidRPr="00541210">
        <w:rPr>
          <w:sz w:val="20"/>
          <w:szCs w:val="20"/>
        </w:rPr>
        <w:t xml:space="preserve">gNB </w:t>
      </w:r>
      <w:r w:rsidR="00CF4207">
        <w:rPr>
          <w:sz w:val="20"/>
          <w:szCs w:val="20"/>
        </w:rPr>
        <w:t xml:space="preserve">can also </w:t>
      </w:r>
      <w:r w:rsidRPr="00541210">
        <w:rPr>
          <w:sz w:val="20"/>
          <w:szCs w:val="20"/>
        </w:rPr>
        <w:t>exchange the packet decoding information</w:t>
      </w:r>
      <w:r w:rsidR="00CF4207">
        <w:rPr>
          <w:sz w:val="20"/>
          <w:szCs w:val="20"/>
        </w:rPr>
        <w:t xml:space="preserve">. </w:t>
      </w:r>
      <w:r w:rsidRPr="00541210">
        <w:rPr>
          <w:sz w:val="20"/>
          <w:szCs w:val="20"/>
        </w:rPr>
        <w:t xml:space="preserve">UE </w:t>
      </w:r>
      <w:r w:rsidR="00CF4207">
        <w:rPr>
          <w:sz w:val="20"/>
          <w:szCs w:val="20"/>
        </w:rPr>
        <w:t xml:space="preserve">can be configured to </w:t>
      </w:r>
      <w:r w:rsidRPr="00541210">
        <w:rPr>
          <w:sz w:val="20"/>
          <w:szCs w:val="20"/>
        </w:rPr>
        <w:t xml:space="preserve">monitor multiple PDCCH </w:t>
      </w:r>
      <w:r w:rsidR="00CF4207">
        <w:rPr>
          <w:sz w:val="20"/>
          <w:szCs w:val="20"/>
        </w:rPr>
        <w:t>for the HARQ operation.</w:t>
      </w:r>
    </w:p>
    <w:p w14:paraId="5E25AE74" w14:textId="77777777" w:rsidR="008C2328" w:rsidRDefault="008C2328" w:rsidP="00BC674A">
      <w:pPr>
        <w:rPr>
          <w:sz w:val="20"/>
          <w:szCs w:val="20"/>
        </w:rPr>
      </w:pPr>
    </w:p>
    <w:p w14:paraId="63429801" w14:textId="014F1ED9" w:rsidR="002C5BF4" w:rsidRDefault="00C53544" w:rsidP="00C53544">
      <w:pPr>
        <w:rPr>
          <w:b/>
          <w:i/>
          <w:sz w:val="20"/>
          <w:szCs w:val="20"/>
        </w:rPr>
      </w:pPr>
      <w:r w:rsidRPr="00430170">
        <w:rPr>
          <w:rFonts w:eastAsia="SimSun"/>
          <w:b/>
          <w:bCs/>
          <w:i/>
          <w:sz w:val="20"/>
          <w:szCs w:val="20"/>
          <w:u w:val="single"/>
        </w:rPr>
        <w:t xml:space="preserve">Proposal </w:t>
      </w:r>
      <w:r w:rsidR="005A0B47">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sidR="002C5BF4">
        <w:rPr>
          <w:b/>
          <w:i/>
          <w:sz w:val="20"/>
          <w:szCs w:val="20"/>
        </w:rPr>
        <w:t>enhancement of Multi TRP/gNB reception and/or transmission in order to improve cell edge UE URLLC performance.</w:t>
      </w:r>
    </w:p>
    <w:p w14:paraId="535F25E0" w14:textId="043CE150" w:rsidR="003B4E29" w:rsidRDefault="003B4E29" w:rsidP="00C53544">
      <w:pPr>
        <w:rPr>
          <w:b/>
          <w:i/>
          <w:sz w:val="20"/>
          <w:szCs w:val="20"/>
        </w:rPr>
      </w:pPr>
    </w:p>
    <w:p w14:paraId="4BAA9DB4" w14:textId="77777777" w:rsidR="003C5043" w:rsidRDefault="003B4E29" w:rsidP="003B4E29">
      <w:pPr>
        <w:pStyle w:val="Heading1"/>
      </w:pPr>
      <w:r>
        <w:t xml:space="preserve">Enhancement </w:t>
      </w:r>
      <w:r w:rsidR="003C5043">
        <w:t>to the Beam Management</w:t>
      </w:r>
    </w:p>
    <w:p w14:paraId="28800FA0" w14:textId="2CD88614" w:rsidR="009636F7" w:rsidRDefault="009636F7" w:rsidP="007970A2">
      <w:pPr>
        <w:rPr>
          <w:sz w:val="20"/>
          <w:szCs w:val="20"/>
        </w:rPr>
      </w:pPr>
      <w:r>
        <w:rPr>
          <w:sz w:val="20"/>
          <w:szCs w:val="20"/>
        </w:rPr>
        <w:t xml:space="preserve">NR is also designed to support FR2 (mmWave) frequency band with unique beam management design. One question </w:t>
      </w:r>
      <w:r w:rsidR="004868F9">
        <w:rPr>
          <w:sz w:val="20"/>
          <w:szCs w:val="20"/>
        </w:rPr>
        <w:t>for</w:t>
      </w:r>
      <w:r>
        <w:rPr>
          <w:sz w:val="20"/>
          <w:szCs w:val="20"/>
        </w:rPr>
        <w:t xml:space="preserve"> the cell-edge user is that cell edge UE may prefer distinctively different set of beams in order to communicat</w:t>
      </w:r>
      <w:r w:rsidR="007970A2">
        <w:rPr>
          <w:sz w:val="20"/>
          <w:szCs w:val="20"/>
        </w:rPr>
        <w:t>e</w:t>
      </w:r>
      <w:r>
        <w:rPr>
          <w:sz w:val="20"/>
          <w:szCs w:val="20"/>
        </w:rPr>
        <w:t xml:space="preserve"> to different TRP or gNB as illustrated in Figure 6.</w:t>
      </w:r>
      <w:r w:rsidR="007970A2">
        <w:rPr>
          <w:sz w:val="20"/>
          <w:szCs w:val="20"/>
        </w:rPr>
        <w:t xml:space="preserve"> Therefore, in order to enhance the b</w:t>
      </w:r>
      <w:r w:rsidR="007970A2" w:rsidRPr="007970A2">
        <w:rPr>
          <w:sz w:val="20"/>
          <w:szCs w:val="20"/>
        </w:rPr>
        <w:t>eam management for cell</w:t>
      </w:r>
      <w:r w:rsidR="007970A2">
        <w:rPr>
          <w:sz w:val="20"/>
          <w:szCs w:val="20"/>
        </w:rPr>
        <w:t xml:space="preserve"> </w:t>
      </w:r>
      <w:r w:rsidR="007970A2" w:rsidRPr="007970A2">
        <w:rPr>
          <w:sz w:val="20"/>
          <w:szCs w:val="20"/>
        </w:rPr>
        <w:t>edge users</w:t>
      </w:r>
      <w:r w:rsidR="007970A2">
        <w:rPr>
          <w:sz w:val="20"/>
          <w:szCs w:val="20"/>
        </w:rPr>
        <w:t xml:space="preserve">, </w:t>
      </w:r>
      <w:r w:rsidR="007970A2" w:rsidRPr="007970A2">
        <w:rPr>
          <w:sz w:val="20"/>
          <w:szCs w:val="20"/>
        </w:rPr>
        <w:t xml:space="preserve">UE can be configured </w:t>
      </w:r>
      <w:r w:rsidR="007970A2">
        <w:rPr>
          <w:sz w:val="20"/>
          <w:szCs w:val="20"/>
        </w:rPr>
        <w:t xml:space="preserve">with </w:t>
      </w:r>
      <w:r w:rsidR="007970A2" w:rsidRPr="007970A2">
        <w:rPr>
          <w:sz w:val="20"/>
          <w:szCs w:val="20"/>
        </w:rPr>
        <w:t>multiple TCI table</w:t>
      </w:r>
      <w:r w:rsidR="00DA3ADC">
        <w:rPr>
          <w:sz w:val="20"/>
          <w:szCs w:val="20"/>
        </w:rPr>
        <w:t>s</w:t>
      </w:r>
      <w:r w:rsidR="007970A2">
        <w:rPr>
          <w:sz w:val="20"/>
          <w:szCs w:val="20"/>
        </w:rPr>
        <w:t xml:space="preserve"> with each TCI table</w:t>
      </w:r>
      <w:r w:rsidR="007970A2" w:rsidRPr="007970A2">
        <w:rPr>
          <w:sz w:val="20"/>
          <w:szCs w:val="20"/>
        </w:rPr>
        <w:t xml:space="preserve"> correspond</w:t>
      </w:r>
      <w:r w:rsidR="007970A2">
        <w:rPr>
          <w:sz w:val="20"/>
          <w:szCs w:val="20"/>
        </w:rPr>
        <w:t xml:space="preserve">s to a different </w:t>
      </w:r>
      <w:r w:rsidR="007970A2" w:rsidRPr="007970A2">
        <w:rPr>
          <w:sz w:val="20"/>
          <w:szCs w:val="20"/>
        </w:rPr>
        <w:t>gNB</w:t>
      </w:r>
      <w:r w:rsidR="00DA3ADC">
        <w:rPr>
          <w:sz w:val="20"/>
          <w:szCs w:val="20"/>
        </w:rPr>
        <w:t>.</w:t>
      </w:r>
      <w:r w:rsidR="007970A2">
        <w:rPr>
          <w:sz w:val="20"/>
          <w:szCs w:val="20"/>
        </w:rPr>
        <w:t xml:space="preserve"> </w:t>
      </w:r>
      <w:r w:rsidR="007970A2" w:rsidRPr="007970A2">
        <w:rPr>
          <w:sz w:val="20"/>
          <w:szCs w:val="20"/>
        </w:rPr>
        <w:t xml:space="preserve">DCI scheduling </w:t>
      </w:r>
      <w:r w:rsidR="007970A2">
        <w:rPr>
          <w:sz w:val="20"/>
          <w:szCs w:val="20"/>
        </w:rPr>
        <w:t xml:space="preserve">can </w:t>
      </w:r>
      <w:r w:rsidR="007970A2" w:rsidRPr="007970A2">
        <w:rPr>
          <w:sz w:val="20"/>
          <w:szCs w:val="20"/>
        </w:rPr>
        <w:t>use the corresponding TCI table i</w:t>
      </w:r>
      <w:r w:rsidR="007970A2">
        <w:rPr>
          <w:sz w:val="20"/>
          <w:szCs w:val="20"/>
        </w:rPr>
        <w:t>f</w:t>
      </w:r>
      <w:r w:rsidR="007970A2" w:rsidRPr="007970A2">
        <w:rPr>
          <w:sz w:val="20"/>
          <w:szCs w:val="20"/>
        </w:rPr>
        <w:t xml:space="preserve"> multiple DCI is supported</w:t>
      </w:r>
      <w:r w:rsidR="007970A2">
        <w:rPr>
          <w:sz w:val="20"/>
          <w:szCs w:val="20"/>
        </w:rPr>
        <w:t xml:space="preserve">. Otherwise, </w:t>
      </w:r>
      <w:r w:rsidR="007970A2" w:rsidRPr="007970A2">
        <w:rPr>
          <w:sz w:val="20"/>
          <w:szCs w:val="20"/>
        </w:rPr>
        <w:t xml:space="preserve">DCI scheduling </w:t>
      </w:r>
      <w:r w:rsidR="007970A2">
        <w:rPr>
          <w:sz w:val="20"/>
          <w:szCs w:val="20"/>
        </w:rPr>
        <w:t xml:space="preserve">can </w:t>
      </w:r>
      <w:r w:rsidR="007970A2" w:rsidRPr="007970A2">
        <w:rPr>
          <w:sz w:val="20"/>
          <w:szCs w:val="20"/>
        </w:rPr>
        <w:t>include the table index i</w:t>
      </w:r>
      <w:r w:rsidR="007970A2">
        <w:rPr>
          <w:sz w:val="20"/>
          <w:szCs w:val="20"/>
        </w:rPr>
        <w:t>f</w:t>
      </w:r>
      <w:r w:rsidR="007970A2" w:rsidRPr="007970A2">
        <w:rPr>
          <w:sz w:val="20"/>
          <w:szCs w:val="20"/>
        </w:rPr>
        <w:t xml:space="preserve"> single DCI is supported</w:t>
      </w:r>
    </w:p>
    <w:p w14:paraId="2E9C7E53" w14:textId="1A00357B" w:rsidR="003B4E29" w:rsidRDefault="003B4E29" w:rsidP="00C53544">
      <w:pPr>
        <w:rPr>
          <w:b/>
          <w:i/>
          <w:sz w:val="20"/>
          <w:szCs w:val="20"/>
        </w:rPr>
      </w:pPr>
    </w:p>
    <w:p w14:paraId="2EBACCAA" w14:textId="77777777" w:rsidR="0024468C" w:rsidRDefault="0024468C" w:rsidP="0024468C">
      <w:pPr>
        <w:keepNext/>
        <w:jc w:val="center"/>
      </w:pPr>
      <w:r w:rsidRPr="0024468C">
        <w:rPr>
          <w:b/>
          <w:i/>
          <w:noProof/>
          <w:sz w:val="20"/>
          <w:szCs w:val="20"/>
        </w:rPr>
        <w:drawing>
          <wp:inline distT="0" distB="0" distL="0" distR="0" wp14:anchorId="2F2E3CC2" wp14:editId="0CA47642">
            <wp:extent cx="5097294" cy="135695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4123" cy="1366755"/>
                    </a:xfrm>
                    <a:prstGeom prst="rect">
                      <a:avLst/>
                    </a:prstGeom>
                  </pic:spPr>
                </pic:pic>
              </a:graphicData>
            </a:graphic>
          </wp:inline>
        </w:drawing>
      </w:r>
    </w:p>
    <w:p w14:paraId="15107FB6" w14:textId="0C67F0EC" w:rsidR="0024468C" w:rsidRDefault="0024468C" w:rsidP="0024468C">
      <w:pPr>
        <w:pStyle w:val="Caption"/>
        <w:rPr>
          <w:sz w:val="20"/>
        </w:rPr>
      </w:pPr>
      <w:r w:rsidRPr="0024468C">
        <w:rPr>
          <w:sz w:val="20"/>
        </w:rPr>
        <w:t xml:space="preserve">Figure </w:t>
      </w:r>
      <w:r w:rsidRPr="0024468C">
        <w:rPr>
          <w:sz w:val="20"/>
        </w:rPr>
        <w:fldChar w:fldCharType="begin"/>
      </w:r>
      <w:r w:rsidRPr="0024468C">
        <w:rPr>
          <w:sz w:val="20"/>
        </w:rPr>
        <w:instrText xml:space="preserve"> SEQ Figure \* ARABIC </w:instrText>
      </w:r>
      <w:r w:rsidRPr="0024468C">
        <w:rPr>
          <w:sz w:val="20"/>
        </w:rPr>
        <w:fldChar w:fldCharType="separate"/>
      </w:r>
      <w:r w:rsidRPr="0024468C">
        <w:rPr>
          <w:noProof/>
          <w:sz w:val="20"/>
        </w:rPr>
        <w:t>6</w:t>
      </w:r>
      <w:r w:rsidRPr="0024468C">
        <w:rPr>
          <w:sz w:val="20"/>
        </w:rPr>
        <w:fldChar w:fldCharType="end"/>
      </w:r>
      <w:r w:rsidRPr="0024468C">
        <w:rPr>
          <w:sz w:val="20"/>
        </w:rPr>
        <w:t xml:space="preserve"> URLLC Beam Management Enhancement</w:t>
      </w:r>
    </w:p>
    <w:p w14:paraId="195C4E08" w14:textId="237257C8" w:rsidR="009636F7" w:rsidRPr="009636F7" w:rsidRDefault="009636F7" w:rsidP="009636F7">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2896E657" w14:textId="77777777" w:rsidR="00854A60" w:rsidRDefault="009C5A97" w:rsidP="00FB330B">
      <w:pPr>
        <w:pStyle w:val="Heading1"/>
      </w:pPr>
      <w:r w:rsidRPr="00FB330B">
        <w:t>Conclusion</w:t>
      </w:r>
      <w:r w:rsidR="004424BC" w:rsidRPr="00FB330B">
        <w:t>s</w:t>
      </w:r>
    </w:p>
    <w:p w14:paraId="36734F9A" w14:textId="4C2BD3E5" w:rsidR="00B929A6" w:rsidRPr="0012647B" w:rsidRDefault="00E47DAC" w:rsidP="00816765">
      <w:pPr>
        <w:jc w:val="both"/>
        <w:rPr>
          <w:sz w:val="20"/>
          <w:szCs w:val="20"/>
        </w:rPr>
      </w:pPr>
      <w:r>
        <w:rPr>
          <w:sz w:val="20"/>
          <w:szCs w:val="20"/>
        </w:rPr>
        <w:t>This contribution focuses on the enhancement of URLLC performance for the cell edge UEs. Clearly, it is more</w:t>
      </w:r>
      <w:r w:rsidRPr="00764EEA">
        <w:rPr>
          <w:sz w:val="20"/>
          <w:szCs w:val="20"/>
        </w:rPr>
        <w:t xml:space="preserve"> challenging for the cell edge user to meet </w:t>
      </w:r>
      <w:r>
        <w:rPr>
          <w:sz w:val="20"/>
          <w:szCs w:val="20"/>
        </w:rPr>
        <w:t xml:space="preserve">URLLC QoS requirement due to multiple reasons, including (1) </w:t>
      </w:r>
      <w:r w:rsidRPr="00764EEA">
        <w:rPr>
          <w:sz w:val="20"/>
          <w:szCs w:val="20"/>
        </w:rPr>
        <w:t>Cell edge user is the furthest from the serving cell</w:t>
      </w:r>
      <w:r>
        <w:rPr>
          <w:sz w:val="20"/>
          <w:szCs w:val="20"/>
        </w:rPr>
        <w:t xml:space="preserve">, hence more prone to be noise limited. (2) </w:t>
      </w:r>
      <w:r w:rsidRPr="00764EEA">
        <w:rPr>
          <w:sz w:val="20"/>
          <w:szCs w:val="20"/>
        </w:rPr>
        <w:t>Cell edge user also experiences strong interference from the neighboring cells</w:t>
      </w:r>
      <w:r>
        <w:rPr>
          <w:sz w:val="20"/>
          <w:szCs w:val="20"/>
        </w:rPr>
        <w:t>. To enhancement the cell edge user performance, w</w:t>
      </w:r>
      <w:r w:rsidRPr="00764EEA">
        <w:rPr>
          <w:sz w:val="20"/>
          <w:szCs w:val="20"/>
        </w:rPr>
        <w:t>e propose a few mechanisms that can be used to improve the URLLC reliability</w:t>
      </w:r>
      <w:r>
        <w:rPr>
          <w:sz w:val="20"/>
          <w:szCs w:val="20"/>
        </w:rPr>
        <w:t>.</w:t>
      </w:r>
      <w:r w:rsidR="00816765">
        <w:rPr>
          <w:sz w:val="20"/>
          <w:szCs w:val="20"/>
        </w:rPr>
        <w:t xml:space="preserve"> </w:t>
      </w:r>
      <w:r w:rsidR="001711C4">
        <w:rPr>
          <w:sz w:val="20"/>
          <w:szCs w:val="20"/>
        </w:rPr>
        <w:t>We have the following proposals</w:t>
      </w:r>
    </w:p>
    <w:p w14:paraId="64EDB514" w14:textId="77777777" w:rsidR="00B929A6" w:rsidRPr="00B929A6" w:rsidRDefault="00B929A6" w:rsidP="00B929A6"/>
    <w:p w14:paraId="074A93CD"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 mobility</w:t>
      </w:r>
      <w:r>
        <w:rPr>
          <w:b/>
          <w:i/>
          <w:sz w:val="20"/>
          <w:szCs w:val="20"/>
        </w:rPr>
        <w:t xml:space="preserve"> enhancement by</w:t>
      </w:r>
      <w:r w:rsidRPr="00D22921">
        <w:rPr>
          <w:b/>
          <w:i/>
          <w:sz w:val="20"/>
          <w:szCs w:val="20"/>
        </w:rPr>
        <w:t xml:space="preserve"> allow</w:t>
      </w:r>
      <w:r>
        <w:rPr>
          <w:b/>
          <w:i/>
          <w:sz w:val="20"/>
          <w:szCs w:val="20"/>
        </w:rPr>
        <w:t>ing</w:t>
      </w:r>
      <w:r w:rsidRPr="00D22921">
        <w:rPr>
          <w:b/>
          <w:i/>
          <w:sz w:val="20"/>
          <w:szCs w:val="20"/>
        </w:rPr>
        <w:t xml:space="preserve"> the UE </w:t>
      </w:r>
      <w:r>
        <w:rPr>
          <w:b/>
          <w:i/>
          <w:sz w:val="20"/>
          <w:szCs w:val="20"/>
        </w:rPr>
        <w:t xml:space="preserve">to </w:t>
      </w:r>
      <w:r w:rsidRPr="00D22921">
        <w:rPr>
          <w:b/>
          <w:i/>
          <w:sz w:val="20"/>
          <w:szCs w:val="20"/>
        </w:rPr>
        <w:t>report the appearance the disappearance of the strong interfer</w:t>
      </w:r>
      <w:r>
        <w:rPr>
          <w:b/>
          <w:i/>
          <w:sz w:val="20"/>
          <w:szCs w:val="20"/>
        </w:rPr>
        <w:t>ing</w:t>
      </w:r>
      <w:r w:rsidRPr="00D22921">
        <w:rPr>
          <w:b/>
          <w:i/>
          <w:sz w:val="20"/>
          <w:szCs w:val="20"/>
        </w:rPr>
        <w:t xml:space="preserve"> cell</w:t>
      </w:r>
      <w:r>
        <w:rPr>
          <w:b/>
          <w:i/>
          <w:sz w:val="20"/>
          <w:szCs w:val="20"/>
        </w:rPr>
        <w:t>s</w:t>
      </w:r>
      <w:r w:rsidRPr="00D22921">
        <w:rPr>
          <w:b/>
          <w:i/>
          <w:sz w:val="20"/>
          <w:szCs w:val="20"/>
        </w:rPr>
        <w:t xml:space="preserve"> to the NW</w:t>
      </w:r>
      <w:r>
        <w:rPr>
          <w:b/>
          <w:i/>
          <w:sz w:val="20"/>
          <w:szCs w:val="20"/>
        </w:rPr>
        <w:t>.</w:t>
      </w:r>
    </w:p>
    <w:p w14:paraId="000684B0" w14:textId="312EB958" w:rsidR="0037653C" w:rsidRDefault="0037653C" w:rsidP="0005407B">
      <w:pPr>
        <w:jc w:val="both"/>
        <w:rPr>
          <w:b/>
          <w:sz w:val="20"/>
          <w:szCs w:val="20"/>
        </w:rPr>
      </w:pPr>
    </w:p>
    <w:p w14:paraId="70084D3C"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Pr>
          <w:b/>
          <w:i/>
          <w:sz w:val="20"/>
          <w:szCs w:val="20"/>
        </w:rPr>
        <w:t>enhancement of Multi TRP/gNB reception and/or transmission in order to improve cell edge UE URLLC performance.</w:t>
      </w:r>
    </w:p>
    <w:p w14:paraId="35ACC324" w14:textId="77777777" w:rsidR="009636F7" w:rsidRDefault="009636F7" w:rsidP="009636F7">
      <w:pPr>
        <w:rPr>
          <w:b/>
          <w:sz w:val="20"/>
          <w:szCs w:val="20"/>
        </w:rPr>
      </w:pPr>
    </w:p>
    <w:p w14:paraId="688922C8" w14:textId="2EFBE274" w:rsidR="00AC1F9B" w:rsidRPr="00015E19" w:rsidRDefault="009636F7" w:rsidP="00015E19">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7716D850" w14:textId="47F291FA" w:rsidR="003E0F30" w:rsidRDefault="005C63AE" w:rsidP="00920B5C">
      <w:pPr>
        <w:pStyle w:val="Heading1"/>
      </w:pPr>
      <w:r>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057858B8" w14:textId="73150F5B" w:rsidR="00FE048F" w:rsidRPr="006868BE" w:rsidRDefault="00FE048F" w:rsidP="00FE048F">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59995" w14:textId="77777777" w:rsidR="002728F7" w:rsidRDefault="002728F7">
      <w:r>
        <w:separator/>
      </w:r>
    </w:p>
  </w:endnote>
  <w:endnote w:type="continuationSeparator" w:id="0">
    <w:p w14:paraId="3522DA59" w14:textId="77777777" w:rsidR="002728F7" w:rsidRDefault="002728F7">
      <w:r>
        <w:continuationSeparator/>
      </w:r>
    </w:p>
  </w:endnote>
  <w:endnote w:type="continuationNotice" w:id="1">
    <w:p w14:paraId="7142356D" w14:textId="77777777" w:rsidR="002728F7" w:rsidRDefault="00272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8F16" w14:textId="77777777" w:rsidR="002728F7" w:rsidRDefault="002728F7">
      <w:r>
        <w:separator/>
      </w:r>
    </w:p>
  </w:footnote>
  <w:footnote w:type="continuationSeparator" w:id="0">
    <w:p w14:paraId="7BA5771E" w14:textId="77777777" w:rsidR="002728F7" w:rsidRDefault="002728F7">
      <w:r>
        <w:continuationSeparator/>
      </w:r>
    </w:p>
  </w:footnote>
  <w:footnote w:type="continuationNotice" w:id="1">
    <w:p w14:paraId="0E5C1C98" w14:textId="77777777" w:rsidR="002728F7" w:rsidRDefault="002728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8E5D83"/>
    <w:multiLevelType w:val="hybridMultilevel"/>
    <w:tmpl w:val="49886350"/>
    <w:lvl w:ilvl="0" w:tplc="DC540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13"/>
  </w:num>
  <w:num w:numId="12">
    <w:abstractNumId w:val="27"/>
  </w:num>
  <w:num w:numId="13">
    <w:abstractNumId w:val="10"/>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7"/>
  </w:num>
  <w:num w:numId="25">
    <w:abstractNumId w:val="15"/>
  </w:num>
  <w:num w:numId="26">
    <w:abstractNumId w:val="24"/>
  </w:num>
  <w:num w:numId="27">
    <w:abstractNumId w:val="2"/>
  </w:num>
  <w:num w:numId="28">
    <w:abstractNumId w:val="30"/>
  </w:num>
  <w:num w:numId="29">
    <w:abstractNumId w:val="26"/>
  </w:num>
  <w:num w:numId="30">
    <w:abstractNumId w:val="32"/>
  </w:num>
  <w:num w:numId="31">
    <w:abstractNumId w:val="18"/>
  </w:num>
  <w:num w:numId="32">
    <w:abstractNumId w:val="29"/>
  </w:num>
  <w:num w:numId="33">
    <w:abstractNumId w:val="22"/>
  </w:num>
  <w:num w:numId="34">
    <w:abstractNumId w:val="8"/>
  </w:num>
  <w:num w:numId="35">
    <w:abstractNumId w:val="6"/>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5E19"/>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545"/>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3157"/>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85"/>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07EF8"/>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2E2"/>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5E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68C"/>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8F7"/>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2B4B"/>
    <w:rsid w:val="00283426"/>
    <w:rsid w:val="00283FA1"/>
    <w:rsid w:val="00284D9D"/>
    <w:rsid w:val="00285265"/>
    <w:rsid w:val="002854D5"/>
    <w:rsid w:val="00285F18"/>
    <w:rsid w:val="00286ACD"/>
    <w:rsid w:val="00286D5A"/>
    <w:rsid w:val="00287838"/>
    <w:rsid w:val="00287886"/>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5BF4"/>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5D64"/>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E29"/>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043"/>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8F9"/>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1210"/>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0B47"/>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28B"/>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4BC1"/>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0B3B"/>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5F7"/>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4A3F"/>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0C18"/>
    <w:rsid w:val="007616B3"/>
    <w:rsid w:val="00761953"/>
    <w:rsid w:val="00761E43"/>
    <w:rsid w:val="007630EA"/>
    <w:rsid w:val="00763A6D"/>
    <w:rsid w:val="00764CC5"/>
    <w:rsid w:val="00764EEA"/>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E1B"/>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0A2"/>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4E4"/>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765"/>
    <w:rsid w:val="008169C4"/>
    <w:rsid w:val="00817196"/>
    <w:rsid w:val="00817A92"/>
    <w:rsid w:val="008200CE"/>
    <w:rsid w:val="00820A73"/>
    <w:rsid w:val="0082124D"/>
    <w:rsid w:val="00821C47"/>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2B1D"/>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0E8C"/>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6F7"/>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762"/>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1D9"/>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1F9B"/>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7E0"/>
    <w:rsid w:val="00B626E7"/>
    <w:rsid w:val="00B62AAA"/>
    <w:rsid w:val="00B62B11"/>
    <w:rsid w:val="00B62B58"/>
    <w:rsid w:val="00B62CB5"/>
    <w:rsid w:val="00B6366E"/>
    <w:rsid w:val="00B64259"/>
    <w:rsid w:val="00B6553E"/>
    <w:rsid w:val="00B658B9"/>
    <w:rsid w:val="00B65FB2"/>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0E3C"/>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544"/>
    <w:rsid w:val="00C53624"/>
    <w:rsid w:val="00C53871"/>
    <w:rsid w:val="00C5395B"/>
    <w:rsid w:val="00C54995"/>
    <w:rsid w:val="00C54D41"/>
    <w:rsid w:val="00C54D4F"/>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181"/>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07"/>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2921"/>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9CC"/>
    <w:rsid w:val="00D31995"/>
    <w:rsid w:val="00D31B35"/>
    <w:rsid w:val="00D32518"/>
    <w:rsid w:val="00D346B3"/>
    <w:rsid w:val="00D34C1E"/>
    <w:rsid w:val="00D34C5A"/>
    <w:rsid w:val="00D351A4"/>
    <w:rsid w:val="00D35515"/>
    <w:rsid w:val="00D360DF"/>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2C6C"/>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3ADC"/>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DAC"/>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9F3"/>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3D94"/>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25B"/>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1C4B"/>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79B0E-6503-3746-AF78-57110DE7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929</TotalTime>
  <Pages>5</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571</cp:revision>
  <cp:lastPrinted>2008-01-31T16:09:00Z</cp:lastPrinted>
  <dcterms:created xsi:type="dcterms:W3CDTF">2017-09-28T15:58:00Z</dcterms:created>
  <dcterms:modified xsi:type="dcterms:W3CDTF">2019-01-11T18:03:00Z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